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/>
      </w:pPr>
      <w:r>
        <w:rPr>
          <w:b/>
          <w:sz w:val="21"/>
          <w:szCs w:val="21"/>
        </w:rPr>
        <w:t>REGULAMENTO CRÉDITO EDUCATIVO – CredIESINTEGRA – GRADUAÇÃO</w:t>
        <w:br/>
        <w:t xml:space="preserve">CONVÊNIO </w:t>
      </w:r>
      <w:bookmarkStart w:id="0" w:name="__DdeLink__14564_371537455"/>
      <w:r>
        <w:rPr>
          <w:b/>
          <w:sz w:val="21"/>
          <w:szCs w:val="21"/>
        </w:rPr>
        <w:t>FACULDADES INTEGRADAS DA AMERICA DO SUL LTDA – EPP</w:t>
      </w:r>
      <w:bookmarkEnd w:id="0"/>
      <w:r>
        <w:rPr>
          <w:b/>
          <w:sz w:val="21"/>
          <w:szCs w:val="21"/>
        </w:rPr>
        <w:t xml:space="preserve"> – FUNDACRED</w:t>
        <w:br/>
      </w:r>
      <w:r>
        <w:rPr>
          <w:b/>
          <w:color w:val="000000"/>
          <w:sz w:val="21"/>
          <w:szCs w:val="21"/>
        </w:rPr>
        <w:t>202</w:t>
      </w:r>
      <w:r>
        <w:rPr>
          <w:b/>
          <w:color w:val="000000"/>
          <w:sz w:val="21"/>
          <w:szCs w:val="21"/>
        </w:rPr>
        <w:t>2</w:t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 xml:space="preserve">Art. 1º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A </w:t>
      </w:r>
      <w:r>
        <w:rPr>
          <w:b/>
          <w:sz w:val="21"/>
          <w:szCs w:val="21"/>
        </w:rPr>
        <w:t>FACULDADES INTEGRADAS DA AMERICA DO SUL LTDA – EPP</w:t>
      </w:r>
      <w:r>
        <w:rPr>
          <w:b/>
          <w:sz w:val="21"/>
          <w:szCs w:val="21"/>
          <w:highlight w:val="white"/>
        </w:rPr>
        <w:t>,</w:t>
      </w:r>
      <w:r>
        <w:rPr>
          <w:sz w:val="21"/>
          <w:szCs w:val="21"/>
        </w:rPr>
        <w:t xml:space="preserve"> entidade mantenedora da </w:t>
      </w:r>
      <w:r>
        <w:rPr>
          <w:b/>
          <w:sz w:val="21"/>
          <w:szCs w:val="21"/>
        </w:rPr>
        <w:t>FACULDADES INTEGRADAS DA AMERICA DO SUL – FAC INTEGRA</w:t>
      </w:r>
      <w:r>
        <w:rPr>
          <w:sz w:val="21"/>
          <w:szCs w:val="21"/>
        </w:rPr>
        <w:t xml:space="preserve">, por meio do convênio com finalidade assistencial, estabelecido com a </w:t>
      </w:r>
      <w:r>
        <w:rPr>
          <w:b/>
          <w:sz w:val="21"/>
          <w:szCs w:val="21"/>
        </w:rPr>
        <w:t xml:space="preserve">Fundação de Crédito Educativo – Fundacred, </w:t>
      </w:r>
      <w:bookmarkStart w:id="1" w:name="docs-internal-guid-f88dde3b-7fff-7aec-95"/>
      <w:bookmarkEnd w:id="1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concederá crédito educacional aos estudantes selecionados dos cursos de graduação, observadas as disposições seguintes.</w:t>
      </w:r>
    </w:p>
    <w:p>
      <w:pPr>
        <w:pStyle w:val="Corpodotexto"/>
        <w:spacing w:lineRule="auto" w:line="240"/>
        <w:rPr/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DA SOLICITAÇÃO</w:t>
      </w:r>
    </w:p>
    <w:p>
      <w:pPr>
        <w:pStyle w:val="LOnormal"/>
        <w:keepNext w:val="true"/>
        <w:widowControl/>
        <w:shd w:val="clear" w:fill="FFFFFF"/>
        <w:spacing w:lineRule="auto" w:line="240"/>
        <w:jc w:val="both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  <w:effect w:val="none"/>
        </w:rPr>
        <w:t xml:space="preserve">Art. 2º –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O(A) candidato(a) ao crédito deverá preencher um formulário de inscrição no endereço eletrônico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FF"/>
          <w:sz w:val="22"/>
          <w:szCs w:val="22"/>
          <w:u w:val="single"/>
          <w:effect w:val="none"/>
        </w:rPr>
        <w:t>http://portal.fundacred.org.br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, realizar o </w:t>
      </w:r>
      <w:r>
        <w:rPr>
          <w:rFonts w:eastAsia="Arial" w:cs="Arial"/>
          <w:b w:val="false"/>
          <w:bCs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upload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dos documentos indicados no art. 4º,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de forma legível, e clicar em “Concluir”, para que 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inscrição seja considerada válida e completa.</w:t>
      </w:r>
    </w:p>
    <w:p>
      <w:pPr>
        <w:pStyle w:val="Corpodotexto"/>
        <w:rPr/>
      </w:pPr>
      <w:r>
        <w:rPr/>
        <w:br/>
      </w:r>
      <w:r>
        <w:rPr>
          <w:b/>
          <w:color w:val="000000"/>
          <w:sz w:val="21"/>
          <w:szCs w:val="21"/>
        </w:rPr>
        <w:t xml:space="preserve">Art. 3º </w:t>
      </w:r>
      <w:r>
        <w:rPr>
          <w:color w:val="000000"/>
          <w:sz w:val="21"/>
          <w:szCs w:val="21"/>
        </w:rPr>
        <w:t>– O(A) candidato(a) deverá indicar uma pessoa para integrar o contrato particular de crédito educativo e outras avenças como coobrigado(a) solidário(a)/fiador(a), para análise e aprovação da Fundacred, observando os requisitos mínimos, a seguir descritos: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– ser pessoa idônea durante toda a vigência do contrato, sob pena de substituição;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II –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  <w:lang w:val="pt-PT" w:eastAsia="pt-PT" w:bidi="pt-PT"/>
        </w:rPr>
        <w:t>ser plenamente capaz (ter idade superior a 18 (dezoito) anos ou ser emancipado e não ser interditado por incapacidade relativa ou absoluta);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III – não ter registro de restrição financeira;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IV – </w:t>
      </w:r>
      <w:r>
        <w:rPr>
          <w:rFonts w:eastAsia="Arial" w:cs="Arial"/>
          <w:color w:val="000000"/>
          <w:sz w:val="21"/>
          <w:szCs w:val="21"/>
        </w:rPr>
        <w:t>não ser cônjuge ou companheiro(a) do(a) candidato(a). Mas, na hipótese de 2 fiadores, admite-se que sejam casados ou conviventes entre si;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 – ser brasileiro(a) nato(a) ou naturalizado(a), com residência e domicílio no Brasil;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VI – </w:t>
      </w:r>
      <w:r>
        <w:rPr>
          <w:rFonts w:eastAsia="Arial" w:cs="Arial"/>
          <w:color w:val="000000"/>
          <w:sz w:val="21"/>
          <w:szCs w:val="21"/>
        </w:rPr>
        <w:t>comprovar renda mínima de:</w:t>
      </w:r>
    </w:p>
    <w:p>
      <w:pPr>
        <w:pStyle w:val="LOnormal"/>
        <w:keepNext w:val="true"/>
        <w:widowControl/>
        <w:shd w:val="clear" w:fill="FFFFFF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a) se fiador único, renda de </w:t>
      </w:r>
      <w:r>
        <w:rPr>
          <w:rFonts w:eastAsia="Arial" w:cs="Arial"/>
          <w:b/>
          <w:sz w:val="21"/>
          <w:szCs w:val="21"/>
        </w:rPr>
        <w:t>dois salários mínimos</w:t>
      </w:r>
      <w:r>
        <w:rPr>
          <w:rFonts w:eastAsia="Arial" w:cs="Arial"/>
          <w:sz w:val="21"/>
          <w:szCs w:val="21"/>
        </w:rPr>
        <w:t xml:space="preserve"> com vigência nacional e igual ou superior a importância de a </w:t>
      </w:r>
      <w:r>
        <w:rPr>
          <w:rFonts w:eastAsia="Arial" w:cs="Arial"/>
          <w:b/>
          <w:sz w:val="21"/>
          <w:szCs w:val="21"/>
        </w:rPr>
        <w:t>uma vez e meia</w:t>
      </w:r>
      <w:r>
        <w:rPr>
          <w:rFonts w:eastAsia="Arial" w:cs="Arial"/>
          <w:sz w:val="21"/>
          <w:szCs w:val="21"/>
        </w:rPr>
        <w:t xml:space="preserve"> ao valor integral da mensalidade média da instituição</w:t>
      </w:r>
      <w:r>
        <w:rPr>
          <w:rFonts w:eastAsia="Arial" w:cs="Arial"/>
          <w:b/>
          <w:sz w:val="21"/>
          <w:szCs w:val="21"/>
        </w:rPr>
        <w:t xml:space="preserve">, </w:t>
      </w:r>
      <w:r>
        <w:rPr>
          <w:rFonts w:eastAsia="Arial" w:cs="Arial"/>
          <w:sz w:val="21"/>
          <w:szCs w:val="21"/>
        </w:rPr>
        <w:t>no respectivo curso do(a) candidato(a);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Arial" w:cs="Arial"/>
          <w:color w:val="000000"/>
          <w:sz w:val="21"/>
          <w:szCs w:val="21"/>
        </w:rPr>
        <w:t>b) se dois fiadores, cada qual, renda de</w:t>
      </w:r>
      <w:r>
        <w:rPr>
          <w:rFonts w:eastAsia="Arial" w:cs="Arial"/>
          <w:b/>
          <w:color w:val="000000"/>
          <w:sz w:val="21"/>
          <w:szCs w:val="21"/>
        </w:rPr>
        <w:t xml:space="preserve"> um salário mínimo e meio </w:t>
      </w:r>
      <w:r>
        <w:rPr>
          <w:rFonts w:eastAsia="Arial" w:cs="Arial"/>
          <w:color w:val="000000"/>
          <w:sz w:val="21"/>
          <w:szCs w:val="21"/>
        </w:rPr>
        <w:t xml:space="preserve">com vigência nacional e, conjuntamente, igual ou superior a importância de </w:t>
      </w:r>
      <w:r>
        <w:rPr>
          <w:rFonts w:eastAsia="Arial" w:cs="Arial"/>
          <w:b/>
          <w:color w:val="000000"/>
          <w:sz w:val="21"/>
          <w:szCs w:val="21"/>
        </w:rPr>
        <w:t>uma vez e meia</w:t>
      </w:r>
      <w:r>
        <w:rPr>
          <w:rFonts w:eastAsia="Arial" w:cs="Arial"/>
          <w:color w:val="000000"/>
          <w:sz w:val="21"/>
          <w:szCs w:val="21"/>
        </w:rPr>
        <w:t xml:space="preserve"> o valor integral da mensalidade média da instituição</w:t>
      </w:r>
      <w:r>
        <w:rPr>
          <w:rFonts w:eastAsia="Arial" w:cs="Arial"/>
          <w:b/>
          <w:color w:val="000000"/>
          <w:sz w:val="21"/>
          <w:szCs w:val="21"/>
        </w:rPr>
        <w:t>,</w:t>
      </w:r>
      <w:r>
        <w:rPr>
          <w:rFonts w:eastAsia="Arial" w:cs="Arial"/>
          <w:color w:val="000000"/>
          <w:sz w:val="21"/>
          <w:szCs w:val="21"/>
        </w:rPr>
        <w:t xml:space="preserve"> no respectivo curso do(a) candidato(a);</w:t>
      </w:r>
    </w:p>
    <w:p>
      <w:pPr>
        <w:pStyle w:val="Normal"/>
        <w:widowControl w:val="false"/>
        <w:shd w:val="clear" w:fill="FFFFFF"/>
        <w:spacing w:lineRule="auto" w:line="240" w:before="0" w:after="0"/>
        <w:jc w:val="both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VII – se fiador(a) de outro beneficiário(a), comprovar renda que comporte o mínimo exigido por afiançado.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>Art. 4º</w:t>
      </w:r>
      <w:r>
        <w:rPr>
          <w:sz w:val="21"/>
          <w:szCs w:val="21"/>
        </w:rPr>
        <w:t xml:space="preserve"> – O(A) candidato(a) deverá realizar o </w:t>
      </w:r>
      <w:r>
        <w:rPr>
          <w:i/>
          <w:sz w:val="21"/>
          <w:szCs w:val="21"/>
        </w:rPr>
        <w:t xml:space="preserve">upload </w:t>
      </w:r>
      <w:r>
        <w:rPr>
          <w:sz w:val="21"/>
          <w:szCs w:val="21"/>
        </w:rPr>
        <w:t>(envio de arquivos por computador) dos</w:t>
      </w:r>
      <w:r>
        <w:rPr>
          <w:b/>
          <w:sz w:val="21"/>
          <w:szCs w:val="21"/>
        </w:rPr>
        <w:t xml:space="preserve"> seguintes documentos</w:t>
      </w:r>
      <w:r>
        <w:rPr>
          <w:sz w:val="21"/>
          <w:szCs w:val="21"/>
        </w:rPr>
        <w:t>:</w:t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</w:rPr>
      </w:pPr>
      <w:r>
        <w:rPr>
          <w:b/>
          <w:sz w:val="21"/>
          <w:szCs w:val="21"/>
        </w:rPr>
        <w:t>I – pessoais (próprios do(a) candidato(a)):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a) Cadastro de Pessoa Física (CPF);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b) Carteira de Identidade (RG);</w:t>
      </w:r>
    </w:p>
    <w:p>
      <w:pPr>
        <w:pStyle w:val="Normal"/>
        <w:keepNext w:val="true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c) Certidão de casamento e, se for o caso, com averbação do divórcio ou da separação judicial ou declaração de união estável; sendo viúvo(a), certidão de óbito do cônjuge falecido;</w:t>
      </w:r>
    </w:p>
    <w:p>
      <w:pPr>
        <w:pStyle w:val="Normal"/>
        <w:keepNext w:val="true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d) Comprovante de residência atualizado (conta de água, energia elétrica, gás, telefone/internet, boletos emitidos pela IES, ou fatura de cartão de crédito, com vencimento nos últimos 60 dias a contar da data do envio da solicitação);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 xml:space="preserve">II – do(a) indicado(a) a </w:t>
      </w:r>
      <w:r>
        <w:rPr>
          <w:b/>
          <w:sz w:val="21"/>
          <w:szCs w:val="21"/>
          <w:highlight w:val="white"/>
        </w:rPr>
        <w:t>coobrigado(a) solidário(a)/fiador(a):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  <w:highlight w:val="white"/>
        </w:rPr>
        <w:t>a) C</w:t>
      </w:r>
      <w:r>
        <w:rPr>
          <w:sz w:val="21"/>
          <w:szCs w:val="21"/>
        </w:rPr>
        <w:t>adastro de Pessoa Física (CPF);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b) Carteira de Identidade (RG);</w:t>
      </w:r>
    </w:p>
    <w:p>
      <w:pPr>
        <w:pStyle w:val="Normal"/>
        <w:keepNext w:val="true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c) Certidão de casamento e, se for o caso, com averbação do divórcio ou da separação judicial ou declaração de união estável; sendo viúvo(a), certidão de óbito do cônjuge falecido;</w:t>
      </w:r>
    </w:p>
    <w:p>
      <w:pPr>
        <w:pStyle w:val="Normal"/>
        <w:keepNext w:val="true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d) Comprovante de residência atualizado (conta de água, energia elétrica, gás, telefone/internet, ou fatura de cartão de crédito, com vencimento nos últimos 60 dias a contar da data do envio da solicitação);</w:t>
      </w:r>
    </w:p>
    <w:p>
      <w:pPr>
        <w:pStyle w:val="Normal"/>
        <w:keepNext w:val="true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e) Comprovante de rendimentos, por meio de:</w:t>
      </w:r>
    </w:p>
    <w:p>
      <w:pPr>
        <w:pStyle w:val="Normal"/>
        <w:ind w:left="0" w:right="-7" w:hanging="0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tbl>
      <w:tblPr>
        <w:tblW w:w="9720" w:type="dxa"/>
        <w:jc w:val="left"/>
        <w:tblInd w:w="-117" w:type="dxa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2670"/>
        <w:gridCol w:w="7049"/>
      </w:tblGrid>
      <w:tr>
        <w:trPr>
          <w:trHeight w:val="600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  <w:vAlign w:val="center"/>
          </w:tcPr>
          <w:p>
            <w:pPr>
              <w:pStyle w:val="Normal"/>
              <w:spacing w:before="200" w:after="0"/>
              <w:ind w:left="144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Condição do Fiador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  <w:vAlign w:val="center"/>
          </w:tcPr>
          <w:p>
            <w:pPr>
              <w:pStyle w:val="Normal"/>
              <w:spacing w:before="200" w:after="0"/>
              <w:ind w:left="144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Relação de Documentos</w:t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Assalariado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>Os 3 (três) últimos contracheques (holerites).</w:t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white"/>
              </w:rPr>
              <w:t>A</w:t>
            </w:r>
            <w:r>
              <w:rPr>
                <w:b/>
                <w:sz w:val="21"/>
                <w:szCs w:val="21"/>
              </w:rPr>
              <w:t>utônomo ou</w:t>
            </w:r>
          </w:p>
          <w:p>
            <w:pPr>
              <w:pStyle w:val="Normal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Profissional Liberal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Declaração do contador com CRC (DECORE), relativamente aos 3 (três) últimos meses; </w:t>
            </w:r>
            <w:r>
              <w:rPr>
                <w:b/>
                <w:sz w:val="21"/>
                <w:szCs w:val="21"/>
                <w:highlight w:val="white"/>
              </w:rPr>
              <w:t xml:space="preserve">ou 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  <w:highlight w:val="white"/>
              </w:rPr>
              <w:t xml:space="preserve">xtrato bancário de conta corrente da sua </w:t>
            </w:r>
            <w:r>
              <w:rPr>
                <w:b/>
                <w:sz w:val="21"/>
                <w:szCs w:val="21"/>
                <w:highlight w:val="white"/>
              </w:rPr>
              <w:t>titularidade exclusiva</w:t>
            </w:r>
            <w:r>
              <w:rPr>
                <w:sz w:val="21"/>
                <w:szCs w:val="21"/>
                <w:highlight w:val="white"/>
              </w:rPr>
              <w:t>, correspondente à movimentação financeira dos 3 (três) últimos meses.</w:t>
            </w:r>
          </w:p>
        </w:tc>
      </w:tr>
      <w:tr>
        <w:trPr/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Aposentado ou Pensionista 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>Último comprovante de recebimento do benefício (extrato ou recibo bancário);</w:t>
            </w:r>
            <w:r>
              <w:rPr>
                <w:b/>
                <w:sz w:val="21"/>
                <w:szCs w:val="21"/>
                <w:highlight w:val="white"/>
              </w:rPr>
              <w:t xml:space="preserve"> e, quando solicitado,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>Cópia completa da última Declaração de Imposto de Renda Pessoa Física (IRPF), acompanhada do recibo de entrega.</w:t>
            </w:r>
          </w:p>
        </w:tc>
      </w:tr>
      <w:tr>
        <w:trPr>
          <w:trHeight w:val="1371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Sócio ou Dirigentes de Pessoa Jurídica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Contrato Social acompanhado dos 3 (três) últimos pró-labores; </w:t>
            </w:r>
            <w:r>
              <w:rPr>
                <w:b/>
                <w:sz w:val="21"/>
                <w:szCs w:val="21"/>
                <w:highlight w:val="white"/>
              </w:rPr>
              <w:t xml:space="preserve">ou 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Declaração do contador com CRC (DECORE), relativamente aos 3 (três) últimos meses; </w:t>
            </w:r>
            <w:r>
              <w:rPr>
                <w:b/>
                <w:sz w:val="21"/>
                <w:szCs w:val="21"/>
                <w:highlight w:val="white"/>
              </w:rPr>
              <w:t>ou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  <w:highlight w:val="white"/>
              </w:rPr>
              <w:t xml:space="preserve">xtrato bancário de conta corrente da sua </w:t>
            </w:r>
            <w:r>
              <w:rPr>
                <w:b/>
                <w:sz w:val="21"/>
                <w:szCs w:val="21"/>
                <w:highlight w:val="white"/>
              </w:rPr>
              <w:t>titularidade exclusiva</w:t>
            </w:r>
            <w:r>
              <w:rPr>
                <w:sz w:val="21"/>
                <w:szCs w:val="21"/>
                <w:highlight w:val="white"/>
              </w:rPr>
              <w:t>, correspondente à movimentação financeira dos 3 (três) últimos meses.</w:t>
            </w:r>
          </w:p>
        </w:tc>
      </w:tr>
      <w:tr>
        <w:trPr>
          <w:trHeight w:val="1836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Produtor Rural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DAP – Declaração de Aptidão do PRONAF, </w:t>
            </w:r>
            <w:r>
              <w:rPr>
                <w:b/>
                <w:sz w:val="21"/>
                <w:szCs w:val="21"/>
                <w:highlight w:val="white"/>
              </w:rPr>
              <w:t>ou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Relatório de notas fiscais, expedido pela Prefeitura Municipal, referente aos 6 (seis) últimos meses, </w:t>
            </w:r>
            <w:r>
              <w:rPr>
                <w:b/>
                <w:sz w:val="21"/>
                <w:szCs w:val="21"/>
                <w:highlight w:val="white"/>
              </w:rPr>
              <w:t>ou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>Bloco de notas e respectivas contranotas, igualmente, dos últimos 6 (seis) meses.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b/>
                <w:sz w:val="21"/>
                <w:szCs w:val="21"/>
                <w:highlight w:val="white"/>
              </w:rPr>
              <w:t>Obs.:</w:t>
            </w:r>
            <w:r>
              <w:rPr>
                <w:sz w:val="21"/>
                <w:szCs w:val="21"/>
                <w:highlight w:val="white"/>
              </w:rPr>
              <w:t xml:space="preserve"> Será considerado o equivalente a 30% do(s) valor(es) constante(s) do(s) documento(s) apresentado(s).</w:t>
            </w:r>
          </w:p>
        </w:tc>
      </w:tr>
      <w:tr>
        <w:trPr>
          <w:trHeight w:val="1817" w:hRule="atLeast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before="200" w:after="0"/>
              <w:ind w:left="0" w:right="-7" w:hanging="0"/>
              <w:jc w:val="center"/>
              <w:rPr>
                <w:rFonts w:ascii="Arial" w:hAnsi="Arial"/>
                <w:b/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Rendimento proveniente de locação ou arrendamento de bens móveis ou imóveis</w:t>
            </w:r>
          </w:p>
        </w:tc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  <w:highlight w:val="white"/>
              </w:rPr>
              <w:t xml:space="preserve">Cópia completa da última Declaração de Imposto de Renda Pessoa Física (IRPF), acompanhada do recibo de entrega; </w:t>
            </w:r>
            <w:r>
              <w:rPr>
                <w:b/>
                <w:sz w:val="21"/>
                <w:szCs w:val="21"/>
                <w:highlight w:val="white"/>
              </w:rPr>
              <w:t>mais</w:t>
            </w:r>
          </w:p>
          <w:p>
            <w:pPr>
              <w:pStyle w:val="Normal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  <w:highlight w:val="white"/>
              </w:rPr>
              <w:t xml:space="preserve">xtrato bancário de conta corrente da sua </w:t>
            </w:r>
            <w:r>
              <w:rPr>
                <w:b/>
                <w:sz w:val="21"/>
                <w:szCs w:val="21"/>
                <w:highlight w:val="white"/>
              </w:rPr>
              <w:t>titularidade exclusiva</w:t>
            </w:r>
            <w:r>
              <w:rPr>
                <w:sz w:val="21"/>
                <w:szCs w:val="21"/>
                <w:highlight w:val="white"/>
              </w:rPr>
              <w:t xml:space="preserve">, correspondente à movimentação financeira dos 3 (três) últimos meses; </w:t>
            </w:r>
            <w:r>
              <w:rPr>
                <w:b/>
                <w:sz w:val="21"/>
                <w:szCs w:val="21"/>
                <w:highlight w:val="white"/>
              </w:rPr>
              <w:t>ou</w:t>
            </w:r>
          </w:p>
          <w:p>
            <w:pPr>
              <w:pStyle w:val="Normal"/>
              <w:shd w:val="clear" w:fill="FFFFFF"/>
              <w:ind w:left="144" w:right="-7" w:hanging="0"/>
              <w:jc w:val="center"/>
              <w:rPr>
                <w:rFonts w:ascii="Arial" w:hAnsi="Arial"/>
                <w:sz w:val="21"/>
                <w:szCs w:val="21"/>
              </w:rPr>
            </w:pPr>
            <w:bookmarkStart w:id="2" w:name="_gjdgxs"/>
            <w:bookmarkEnd w:id="2"/>
            <w:r>
              <w:rPr>
                <w:sz w:val="21"/>
                <w:szCs w:val="21"/>
                <w:highlight w:val="white"/>
              </w:rPr>
              <w:t xml:space="preserve">– </w:t>
            </w:r>
            <w:r>
              <w:rPr>
                <w:sz w:val="21"/>
                <w:szCs w:val="21"/>
              </w:rPr>
              <w:t>Contrato de locação ou arrendamento, acompanhado dos três últimos comprovantes de recebimentos.</w:t>
            </w:r>
          </w:p>
        </w:tc>
      </w:tr>
    </w:tbl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  <w:highlight w:val="white"/>
        </w:rPr>
        <w:t>Parágrafo único.</w:t>
      </w:r>
      <w:r>
        <w:rPr>
          <w:sz w:val="21"/>
          <w:szCs w:val="21"/>
          <w:highlight w:val="white"/>
        </w:rPr>
        <w:t xml:space="preserve"> Tanto o(a) candidato(a), quanto o(a) indicado(a) a fiador(a), se casados ou em união estável, apresentar fotocópia da Carteira de Identidade (RG) e do Cadastro de Pessoa Física (CPF) do cônjuge ou companheiro(a).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shd w:val="clear" w:fill="FFFFFF"/>
        <w:jc w:val="both"/>
        <w:rPr>
          <w:rFonts w:ascii="Arial" w:hAnsi="Arial"/>
          <w:b/>
          <w:b/>
          <w:bCs/>
          <w:sz w:val="21"/>
          <w:szCs w:val="21"/>
          <w:highlight w:val="white"/>
        </w:rPr>
      </w:pPr>
      <w:r>
        <w:rPr>
          <w:b/>
          <w:bCs/>
          <w:sz w:val="21"/>
          <w:szCs w:val="21"/>
          <w:highlight w:val="white"/>
        </w:rPr>
        <w:t>DAS VAGAS</w:t>
      </w:r>
    </w:p>
    <w:p>
      <w:pPr>
        <w:pStyle w:val="Normal"/>
        <w:shd w:val="clear" w:fill="FFFFFF"/>
        <w:jc w:val="both"/>
        <w:rPr/>
      </w:pPr>
      <w:r>
        <w:rPr>
          <w:b/>
          <w:bCs/>
          <w:sz w:val="21"/>
          <w:szCs w:val="21"/>
        </w:rPr>
        <w:t xml:space="preserve">Art. 5º – </w:t>
      </w:r>
      <w:r>
        <w:rPr>
          <w:b/>
          <w:bCs/>
          <w:sz w:val="21"/>
          <w:szCs w:val="21"/>
        </w:rPr>
        <w:t>O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CredIES 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pt-BR" w:eastAsia="zh-CN" w:bidi="hi-IN"/>
        </w:rPr>
        <w:t>INTEGRA</w:t>
      </w:r>
      <w:r>
        <w:rPr>
          <w:rFonts w:eastAsia="Arial" w:cs="Arial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será ofertado de acordo com a demanda dos estudantes e a disponibilidade financeira da IES, para os cursos de graduação, exclusivamente para a modalidade presencial, em benefício dos(as) alunos(as) calouros(as) e/ou veteranos(as).</w:t>
      </w:r>
    </w:p>
    <w:p>
      <w:pPr>
        <w:pStyle w:val="Corpodotexto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DOS REQUISITOS DE SELEÇÃO, OBTENÇÃO E MANUTENÇÃO DO CRÉDITO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 xml:space="preserve">Art. 6º </w:t>
      </w:r>
      <w:r>
        <w:rPr>
          <w:sz w:val="21"/>
          <w:szCs w:val="21"/>
        </w:rPr>
        <w:t>– A seleção, concessão e manutenção do crédito obedecerão, fundamentalmente, aos seguintes critérios: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I – estar em situação financeira regular junto à </w:t>
      </w:r>
      <w:r>
        <w:rPr>
          <w:b/>
          <w:sz w:val="21"/>
          <w:szCs w:val="21"/>
        </w:rPr>
        <w:t>FAC INTEGRA</w:t>
      </w:r>
      <w:r>
        <w:rPr>
          <w:sz w:val="21"/>
          <w:szCs w:val="21"/>
        </w:rPr>
        <w:t>; se inadimplente, regularizar os débitos;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II – não ser beneficiário(a) de nenhum outro programa ofertado pelo poder público, entidade privada e pela </w:t>
      </w:r>
      <w:r>
        <w:rPr>
          <w:b/>
          <w:bCs/>
          <w:sz w:val="21"/>
          <w:szCs w:val="21"/>
        </w:rPr>
        <w:t>FAC INTEGRA</w:t>
      </w:r>
      <w:r>
        <w:rPr>
          <w:sz w:val="21"/>
          <w:szCs w:val="21"/>
        </w:rPr>
        <w:t>, exceto desconto pontualidade;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III – observar os prazos estabelecidos para a contratação.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hd w:val="clear" w:fill="FFFFFF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>Parágrafo único</w:t>
      </w:r>
      <w:r>
        <w:rPr>
          <w:sz w:val="21"/>
          <w:szCs w:val="21"/>
        </w:rPr>
        <w:t xml:space="preserve">. </w:t>
      </w:r>
      <w:bookmarkStart w:id="3" w:name="docs-internal-guid-ad3017f1-7fff-88a9-bf"/>
      <w:bookmarkEnd w:id="3"/>
      <w:r>
        <w:rPr>
          <w:sz w:val="21"/>
          <w:szCs w:val="21"/>
        </w:rPr>
        <w:t xml:space="preserve">O </w:t>
      </w:r>
      <w:r>
        <w:rPr>
          <w:b/>
          <w:sz w:val="21"/>
          <w:szCs w:val="21"/>
        </w:rPr>
        <w:t>CredIES INTEGRA</w:t>
      </w:r>
      <w:r>
        <w:rPr>
          <w:sz w:val="21"/>
          <w:szCs w:val="21"/>
        </w:rPr>
        <w:t xml:space="preserve"> será ofertado de acordo com a disponibilidade financeira da </w:t>
      </w:r>
      <w:r>
        <w:rPr>
          <w:b/>
          <w:sz w:val="21"/>
          <w:szCs w:val="21"/>
        </w:rPr>
        <w:t>FAC INTEGRA</w:t>
      </w:r>
      <w:r>
        <w:rPr>
          <w:sz w:val="21"/>
          <w:szCs w:val="21"/>
        </w:rPr>
        <w:t xml:space="preserve"> e a necessidade de preenchimento de vagas ociosas.</w:t>
        <w:br/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</w:rPr>
      </w:pPr>
      <w:r>
        <w:rPr>
          <w:b/>
          <w:sz w:val="21"/>
          <w:szCs w:val="21"/>
        </w:rPr>
        <w:t>DO VALOR DO CRÉDITO: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>Art. 7º</w:t>
      </w:r>
      <w:r>
        <w:rPr>
          <w:sz w:val="21"/>
          <w:szCs w:val="21"/>
        </w:rPr>
        <w:t xml:space="preserve"> – O crédito concedido corresponderá ao valor da(s) parcela(s) e percentual de cobertura, autorizados pela </w:t>
      </w:r>
      <w:r>
        <w:rPr>
          <w:b/>
          <w:sz w:val="21"/>
          <w:szCs w:val="21"/>
        </w:rPr>
        <w:t>FAC INTEGRA</w:t>
      </w:r>
      <w:r>
        <w:rPr>
          <w:sz w:val="21"/>
          <w:szCs w:val="21"/>
        </w:rPr>
        <w:t>.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</w:r>
      <w:bookmarkStart w:id="4" w:name="30j0zll"/>
      <w:bookmarkStart w:id="5" w:name="30j0zll"/>
      <w:bookmarkEnd w:id="5"/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bCs/>
          <w:color w:val="000000"/>
          <w:sz w:val="21"/>
          <w:szCs w:val="21"/>
          <w:highlight w:val="white"/>
        </w:rPr>
        <w:t xml:space="preserve">Parágrafo único. </w:t>
      </w:r>
      <w:r>
        <w:rPr>
          <w:color w:val="000000"/>
          <w:sz w:val="21"/>
          <w:szCs w:val="21"/>
          <w:highlight w:val="white"/>
        </w:rPr>
        <w:t xml:space="preserve">Descontos eventualmente concedidos pela </w:t>
      </w:r>
      <w:r>
        <w:rPr>
          <w:b/>
          <w:color w:val="000000"/>
          <w:sz w:val="21"/>
          <w:szCs w:val="21"/>
          <w:highlight w:val="white"/>
        </w:rPr>
        <w:t>FAC INTEGRA</w:t>
      </w:r>
      <w:r>
        <w:rPr>
          <w:color w:val="000000"/>
          <w:sz w:val="21"/>
          <w:szCs w:val="21"/>
          <w:highlight w:val="white"/>
        </w:rPr>
        <w:t>, incidirão apenas sobre os valores não cobertos pelo crédito, ou seja, fração da(s) parcela(s) paga diretamente à IES.</w:t>
      </w:r>
    </w:p>
    <w:p>
      <w:pPr>
        <w:pStyle w:val="Normal"/>
        <w:spacing w:lineRule="auto" w:line="288"/>
        <w:rPr>
          <w:rFonts w:ascii="Arial" w:hAnsi="Arial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b/>
          <w:color w:val="000000"/>
          <w:sz w:val="21"/>
          <w:szCs w:val="21"/>
        </w:rPr>
        <w:t>DO CONTRATO</w:t>
      </w:r>
    </w:p>
    <w:p>
      <w:pPr>
        <w:pStyle w:val="Normal"/>
        <w:spacing w:lineRule="auto" w:line="288"/>
        <w:jc w:val="both"/>
        <w:rPr>
          <w:rFonts w:ascii="Arial" w:hAnsi="Arial"/>
          <w:sz w:val="21"/>
          <w:szCs w:val="21"/>
        </w:rPr>
      </w:pPr>
      <w:r>
        <w:rPr>
          <w:b/>
          <w:color w:val="000000"/>
          <w:sz w:val="21"/>
          <w:szCs w:val="21"/>
        </w:rPr>
        <w:t>Art. 8º</w:t>
      </w:r>
      <w:r>
        <w:rPr>
          <w:color w:val="000000"/>
          <w:sz w:val="21"/>
          <w:szCs w:val="21"/>
        </w:rPr>
        <w:t xml:space="preserve">– </w:t>
      </w:r>
      <w:r>
        <w:rPr>
          <w:rFonts w:eastAsia="Arial" w:cs="Arial"/>
          <w:b w:val="false"/>
          <w:bCs w:val="false"/>
          <w:color w:val="000000"/>
          <w:sz w:val="21"/>
          <w:szCs w:val="21"/>
        </w:rPr>
        <w:t xml:space="preserve">O direito ao crédito só emerge com a efetiva formalização do contrato particular de crédito educativo e outras avenças, por meio da assinatura do(a) candidato(a) beneficiado(a), coobrigado(a) solidário(a)/fiador(a) e cônjuge ou companheiro(a), se for o caso. </w:t>
      </w:r>
      <w:r>
        <w:rPr>
          <w:rFonts w:eastAsia="Arial" w:cs="Arial"/>
          <w:b/>
          <w:color w:val="000000"/>
          <w:sz w:val="21"/>
          <w:szCs w:val="21"/>
        </w:rPr>
        <w:t>As respectivas assinaturas manuscritas deverão ser reconhecidas em cartório.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0"/>
          <w:sz w:val="21"/>
          <w:szCs w:val="21"/>
        </w:rPr>
      </w:pPr>
      <w:r>
        <w:rPr>
          <w:rFonts w:eastAsia="Arial" w:cs="Arial"/>
          <w:b/>
          <w:color w:val="000000"/>
          <w:sz w:val="21"/>
          <w:szCs w:val="21"/>
        </w:rPr>
      </w:r>
    </w:p>
    <w:p>
      <w:pPr>
        <w:pStyle w:val="LOnormal"/>
        <w:widowControl/>
        <w:jc w:val="both"/>
        <w:rPr>
          <w:rFonts w:ascii="Arial" w:hAnsi="Arial"/>
          <w:sz w:val="21"/>
          <w:szCs w:val="21"/>
        </w:rPr>
      </w:pPr>
      <w:r>
        <w:rPr>
          <w:rFonts w:eastAsia="Arial" w:cs="Arial"/>
          <w:b/>
          <w:color w:val="000000"/>
          <w:sz w:val="21"/>
          <w:szCs w:val="21"/>
        </w:rPr>
        <w:t xml:space="preserve">Parágrafo </w:t>
      </w:r>
      <w:r>
        <w:rPr>
          <w:rFonts w:eastAsia="Arial" w:cs="Arial"/>
          <w:b/>
          <w:color w:val="000000"/>
          <w:kern w:val="0"/>
          <w:sz w:val="21"/>
          <w:szCs w:val="21"/>
          <w:lang w:val="pt-BR" w:eastAsia="zh-CN" w:bidi="hi-IN"/>
        </w:rPr>
        <w:t>primeiro</w:t>
      </w:r>
      <w:r>
        <w:rPr>
          <w:rFonts w:eastAsia="Arial" w:cs="Arial"/>
          <w:b/>
          <w:color w:val="000000"/>
          <w:sz w:val="21"/>
          <w:szCs w:val="21"/>
        </w:rPr>
        <w:t xml:space="preserve">. </w:t>
      </w:r>
      <w:r>
        <w:rPr>
          <w:rFonts w:eastAsia="Arial" w:cs="Arial"/>
          <w:b w:val="false"/>
          <w:bCs w:val="false"/>
          <w:color w:val="000000"/>
          <w:sz w:val="21"/>
          <w:szCs w:val="21"/>
        </w:rPr>
        <w:t>Podem as partes optar pela assinatura digital, desde que chanceladas por autoridade com certificado ICP – Brasil – Instituto Nacional de Tecnologia da Informação.</w:t>
      </w:r>
    </w:p>
    <w:p>
      <w:pPr>
        <w:pStyle w:val="LOnormal"/>
        <w:widowControl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Arial" w:hAnsi="Arial"/>
          <w:sz w:val="21"/>
          <w:szCs w:val="21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Parágrafo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sz w:val="21"/>
          <w:szCs w:val="21"/>
          <w:u w:val="none"/>
          <w:effect w:val="none"/>
          <w:lang w:val="pt-BR" w:eastAsia="zh-CN" w:bidi="hi-IN"/>
        </w:rPr>
        <w:t>segundo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.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Se qualquer dos indicados for representado por mandatário(a) na formalização do contrato, deverá ser entregue com o respectivo instrumento,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 procuração e/ou certidão de procuração atualizada, com poderes expressos para tanto.</w:t>
      </w:r>
    </w:p>
    <w:p>
      <w:pPr>
        <w:pStyle w:val="LOnormal"/>
        <w:widowControl/>
        <w:spacing w:lineRule="auto" w:line="240" w:before="0" w:after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</w:r>
    </w:p>
    <w:p>
      <w:pPr>
        <w:pStyle w:val="Normal"/>
        <w:spacing w:lineRule="auto" w:line="288"/>
        <w:jc w:val="both"/>
        <w:rPr>
          <w:rFonts w:ascii="Arial" w:hAnsi="Arial"/>
          <w:sz w:val="21"/>
          <w:szCs w:val="21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Parágrafo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kern w:val="0"/>
          <w:sz w:val="21"/>
          <w:szCs w:val="21"/>
          <w:u w:val="none"/>
          <w:effect w:val="none"/>
          <w:lang w:val="pt-BR" w:eastAsia="zh-CN" w:bidi="hi-IN"/>
        </w:rPr>
        <w:t>terceiro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 xml:space="preserve">.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Para o proposto no caput, não será(ão) aceita(s) fotocópia(s) do contrato particular de crédito educativo e outras avenças, ainda que, autenticada(s).</w:t>
      </w:r>
    </w:p>
    <w:p>
      <w:pPr>
        <w:pStyle w:val="Corpodotexto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br/>
      </w:r>
      <w:r>
        <w:rPr>
          <w:b/>
          <w:sz w:val="21"/>
          <w:szCs w:val="21"/>
        </w:rPr>
        <w:t>DA RESTITUIÇÃO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</w:rPr>
        <w:t xml:space="preserve">Art. 9º </w:t>
      </w:r>
      <w:r>
        <w:rPr>
          <w:sz w:val="21"/>
          <w:szCs w:val="21"/>
        </w:rPr>
        <w:t>– A restituição da quantia contratada obedecerá às seguintes condições: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 – a exigibilidade da contraprestação ocorrerá conforme os vencimentos e prazos expressos em contrato, no último dia do mês subsequente à seriação aconselhada (tempo mínimo para conclusão), isto é, ao período de duração do curso, obedecida rigorosamente a grade curricular, segundo orientação da instituição de ensino; ressalva-se a hipótese de conclusão do curso antes da data prevista, em que a restituição do crédito será automaticamente antecipada;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II – as parcelas terão vencimentos mensais e sucessivos, em número igual ao estabelecido em contrato;</w:t>
      </w:r>
    </w:p>
    <w:p>
      <w:pPr>
        <w:pStyle w:val="Normal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III – o valor contratado será atualizado pela variação mensal do INPC (Índice Nacional de Preços ao Consumidor), desde a concessão do crédito até o mês de restituição de cada parcela atinente à contraprestação, considerando apenas índices positivos (maiores que zero); e, caso ocorra a extinção do INPC, utilizar-se-á outro índice oficial que venha a substituí-lo;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IV – sobre o valor de cada parcela a restituir, a título de taxa de administração, será acrescido 0,35% (zero vírgula trinta e cinco por cento) ao mês, computado entre a data da contratação do crédito e a efetiva restituição.</w:t>
      </w:r>
    </w:p>
    <w:p>
      <w:pPr>
        <w:pStyle w:val="Normal"/>
        <w:shd w:val="clear" w:fill="FFFFFF"/>
        <w:jc w:val="both"/>
        <w:rPr>
          <w:rFonts w:ascii="Arial" w:hAnsi="Arial"/>
          <w:color w:val="FF0000"/>
          <w:sz w:val="21"/>
          <w:szCs w:val="21"/>
          <w:highlight w:val="yellow"/>
        </w:rPr>
      </w:pPr>
      <w:r>
        <w:rPr>
          <w:color w:val="FF0000"/>
          <w:sz w:val="21"/>
          <w:szCs w:val="21"/>
          <w:highlight w:val="yellow"/>
        </w:rPr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</w:rPr>
      </w:pPr>
      <w:r>
        <w:rPr>
          <w:b/>
          <w:sz w:val="21"/>
          <w:szCs w:val="21"/>
        </w:rPr>
        <w:t>DO CANCELAMENTO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  <w:highlight w:val="white"/>
        </w:rPr>
        <w:t>Art. 10</w:t>
      </w:r>
      <w:r>
        <w:rPr>
          <w:sz w:val="21"/>
          <w:szCs w:val="21"/>
          <w:highlight w:val="white"/>
        </w:rPr>
        <w:t xml:space="preserve"> – S</w:t>
      </w:r>
      <w:r>
        <w:rPr>
          <w:color w:val="000000"/>
          <w:sz w:val="21"/>
          <w:szCs w:val="21"/>
          <w:highlight w:val="white"/>
        </w:rPr>
        <w:t>e implementada qualquer das condições abaixo, o crédito poderá ser cancelado e a exigibilidade da contraprestação de todos os contratos particulares de crédito educativo e outras avenças, antecipada: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I – solicitação expressa do(a) beneficiário(a);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II </w:t>
      </w:r>
      <w:r>
        <w:rPr>
          <w:sz w:val="21"/>
          <w:szCs w:val="21"/>
          <w:highlight w:val="white"/>
        </w:rPr>
        <w:t>–</w:t>
      </w:r>
      <w:bookmarkStart w:id="6" w:name="docs-internal-guid-153c5932-7fff-9ff2-36"/>
      <w:bookmarkEnd w:id="6"/>
      <w:r>
        <w:rPr>
          <w:color w:val="000000"/>
          <w:sz w:val="21"/>
          <w:szCs w:val="21"/>
          <w:highlight w:val="white"/>
        </w:rPr>
        <w:t>trancamento de matrícula, salvo ocorrendo o retorno no período imediatamente subsequente</w:t>
      </w:r>
      <w:r>
        <w:rPr>
          <w:sz w:val="21"/>
          <w:szCs w:val="21"/>
        </w:rPr>
        <w:t>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III </w:t>
      </w:r>
      <w:r>
        <w:rPr>
          <w:sz w:val="21"/>
          <w:szCs w:val="21"/>
          <w:highlight w:val="white"/>
        </w:rPr>
        <w:t>–</w:t>
      </w:r>
      <w:bookmarkStart w:id="7" w:name="docs-internal-guid-1be3761d-7fff-da93-54"/>
      <w:bookmarkEnd w:id="7"/>
      <w:r>
        <w:rPr>
          <w:color w:val="000000"/>
          <w:sz w:val="21"/>
          <w:szCs w:val="21"/>
        </w:rPr>
        <w:t>cancelamento de matrícula, desistência ou abandono do curso</w:t>
      </w:r>
      <w:r>
        <w:rPr>
          <w:sz w:val="21"/>
          <w:szCs w:val="21"/>
        </w:rPr>
        <w:t>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IV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conclusão antecipada do curso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szCs w:val="21"/>
          <w:u w:val="none"/>
          <w:effect w:val="none"/>
        </w:rPr>
        <w:t>(art. 9º, inciso I)</w:t>
      </w:r>
      <w:r>
        <w:rPr>
          <w:sz w:val="21"/>
          <w:szCs w:val="21"/>
        </w:rPr>
        <w:t>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V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transferência de instituição de ensino;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VI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inadimplência da parte não custeada;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VII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óbito do(a) beneficiário(a);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 xml:space="preserve">VIII </w:t>
      </w:r>
      <w:r>
        <w:rPr>
          <w:sz w:val="21"/>
          <w:szCs w:val="21"/>
          <w:highlight w:val="white"/>
        </w:rPr>
        <w:t>–</w:t>
      </w:r>
      <w:r>
        <w:rPr>
          <w:sz w:val="21"/>
          <w:szCs w:val="21"/>
        </w:rPr>
        <w:t xml:space="preserve"> inobservância das condições estabelecidas no presente regulamento e no contrato particular de crédito educativo e outras avenças.</w:t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  <w:highlight w:val="white"/>
        </w:rPr>
        <w:t>Parágrafo único.</w:t>
      </w:r>
      <w:r>
        <w:rPr>
          <w:sz w:val="21"/>
          <w:szCs w:val="21"/>
          <w:highlight w:val="white"/>
        </w:rPr>
        <w:t xml:space="preserve"> A restituição do(s) crédito(s) concedido(s) terá início após a rescisão/resilição de qualquer dos contratos particulares de crédito educativo, de forma sequencial e em atenção a ordem de celebração dos pactos.</w:t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DAS DISPOSIÇÕES FINAIS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  <w:highlight w:val="white"/>
        </w:rPr>
        <w:t xml:space="preserve">Art. 11 </w:t>
      </w:r>
      <w:r>
        <w:rPr>
          <w:sz w:val="21"/>
          <w:szCs w:val="21"/>
          <w:highlight w:val="white"/>
        </w:rPr>
        <w:t>– É obrigação do(a) beneficiário(a) verificar se o curso ao qual será dado cobertura possui autorização, reconhecimento ou reconhecimento renovado junto ao Ministério da Educação – MEC (</w:t>
      </w:r>
      <w:r>
        <w:rPr>
          <w:b/>
          <w:color w:val="0000FF"/>
          <w:sz w:val="21"/>
          <w:szCs w:val="21"/>
          <w:u w:val="single"/>
        </w:rPr>
        <w:t>http://emec.mec.gov.br</w:t>
      </w:r>
      <w:r>
        <w:rPr>
          <w:sz w:val="21"/>
          <w:szCs w:val="21"/>
          <w:highlight w:val="white"/>
        </w:rPr>
        <w:t>), em atenção às normas e aos prazos estabelecidos pela legislação competente.</w:t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shd w:val="clear" w:fill="FFFFFF"/>
        <w:jc w:val="both"/>
        <w:rPr/>
      </w:pPr>
      <w:r>
        <w:rPr>
          <w:b/>
          <w:bCs/>
          <w:sz w:val="21"/>
          <w:szCs w:val="21"/>
          <w:highlight w:val="white"/>
        </w:rPr>
        <w:t>Art 12</w:t>
      </w:r>
      <w:r>
        <w:rPr>
          <w:sz w:val="21"/>
          <w:szCs w:val="21"/>
          <w:highlight w:val="white"/>
        </w:rPr>
        <w:t xml:space="preserve"> – </w:t>
      </w:r>
      <w:r>
        <w:rPr>
          <w:color w:val="000000"/>
          <w:sz w:val="21"/>
          <w:szCs w:val="21"/>
          <w:highlight w:val="white"/>
        </w:rPr>
        <w:t xml:space="preserve">Caberá, ainda, ao(à) candidato(a) ler atentamente a </w:t>
      </w:r>
      <w:hyperlink r:id="rId2">
        <w:r>
          <w:rPr>
            <w:rStyle w:val="LinkdaInternet"/>
            <w:b/>
            <w:color w:val="0000FF"/>
            <w:sz w:val="21"/>
            <w:szCs w:val="21"/>
          </w:rPr>
          <w:t>Política de Privacidade da Fundacred</w:t>
        </w:r>
      </w:hyperlink>
      <w:r>
        <w:rPr>
          <w:color w:val="000000"/>
          <w:sz w:val="21"/>
          <w:szCs w:val="21"/>
          <w:highlight w:val="white"/>
        </w:rPr>
        <w:t>para ter conhecimento sobre a coleta de dados pessoais e as finalidades do tratamento.</w:t>
      </w:r>
    </w:p>
    <w:p>
      <w:pPr>
        <w:pStyle w:val="Normal"/>
        <w:shd w:val="clear" w:fill="FFFFFF"/>
        <w:jc w:val="both"/>
        <w:rPr>
          <w:rFonts w:ascii="Arial" w:hAnsi="Arial"/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</w:rPr>
      </w:pPr>
      <w:r>
        <w:rPr>
          <w:b/>
          <w:sz w:val="21"/>
          <w:szCs w:val="21"/>
          <w:highlight w:val="white"/>
        </w:rPr>
        <w:t xml:space="preserve">Art. 13 </w:t>
      </w:r>
      <w:r>
        <w:rPr>
          <w:sz w:val="21"/>
          <w:szCs w:val="21"/>
          <w:highlight w:val="white"/>
        </w:rPr>
        <w:t xml:space="preserve">– Os casos omissos neste regulamento serão resolvidos pela </w:t>
      </w:r>
      <w:r>
        <w:rPr>
          <w:b/>
          <w:sz w:val="21"/>
          <w:szCs w:val="21"/>
          <w:highlight w:val="white"/>
        </w:rPr>
        <w:t>Fundacred</w:t>
      </w:r>
      <w:r>
        <w:rPr>
          <w:sz w:val="21"/>
          <w:szCs w:val="21"/>
          <w:highlight w:val="white"/>
        </w:rPr>
        <w:t xml:space="preserve"> e/ou pela</w:t>
      </w:r>
      <w:r>
        <w:rPr>
          <w:b/>
          <w:sz w:val="21"/>
          <w:szCs w:val="21"/>
          <w:highlight w:val="white"/>
        </w:rPr>
        <w:t xml:space="preserve"> FACULDADES INTEGRADAS DA AMERICA DO SUL LTDA – EPP.</w:t>
      </w:r>
    </w:p>
    <w:p>
      <w:pPr>
        <w:pStyle w:val="Normal"/>
        <w:shd w:val="clear" w:fill="FFFFFF"/>
        <w:jc w:val="both"/>
        <w:rPr>
          <w:rFonts w:ascii="Arial" w:hAnsi="Arial"/>
          <w:b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</w:r>
    </w:p>
    <w:p>
      <w:pPr>
        <w:pStyle w:val="Normal"/>
        <w:shd w:val="clear" w:fill="FFFFFF"/>
        <w:jc w:val="both"/>
        <w:rPr>
          <w:rFonts w:ascii="Arial" w:hAnsi="Arial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</w:r>
    </w:p>
    <w:p>
      <w:pPr>
        <w:pStyle w:val="Normal"/>
        <w:shd w:val="clear" w:fill="FFFFFF"/>
        <w:jc w:val="center"/>
        <w:rPr/>
      </w:pPr>
      <w:r>
        <w:rPr>
          <w:b/>
          <w:sz w:val="21"/>
          <w:szCs w:val="21"/>
          <w:highlight w:val="white"/>
        </w:rPr>
        <w:t>ATENÇÃO: PROCESSO INCOMPLETO NÃO SERÁ ANALISADO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0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overflowPunct w:val="false"/>
      <w:bidi w:val="0"/>
      <w:spacing w:before="400" w:after="120"/>
      <w:ind w:left="432" w:right="0" w:hanging="432"/>
      <w:jc w:val="left"/>
    </w:pPr>
    <w:rPr>
      <w:rFonts w:ascii="Arial" w:hAnsi="Arial" w:eastAsia="Arial" w:cs="Arial"/>
      <w:color w:val="000000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overflowPunct w:val="false"/>
      <w:bidi w:val="0"/>
      <w:spacing w:before="360" w:after="120"/>
      <w:ind w:left="576" w:right="0" w:hanging="576"/>
      <w:jc w:val="left"/>
    </w:pPr>
    <w:rPr>
      <w:rFonts w:ascii="Arial" w:hAnsi="Arial" w:eastAsia="Arial" w:cs="Arial"/>
      <w:color w:val="000000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false"/>
      <w:bidi w:val="0"/>
      <w:spacing w:before="320" w:after="80"/>
      <w:ind w:left="720" w:right="0" w:hanging="720"/>
      <w:jc w:val="left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false"/>
      <w:bidi w:val="0"/>
      <w:spacing w:before="280" w:after="80"/>
      <w:ind w:left="864" w:right="0" w:hanging="864"/>
      <w:jc w:val="left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false"/>
      <w:bidi w:val="0"/>
      <w:spacing w:before="240" w:after="80"/>
      <w:ind w:left="1008" w:right="0" w:hanging="1008"/>
      <w:jc w:val="left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false"/>
      <w:bidi w:val="0"/>
      <w:spacing w:before="240" w:after="80"/>
      <w:ind w:left="1152" w:right="0" w:hanging="1152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TextodecomentrioChar">
    <w:name w:val="Texto de comentário Char"/>
    <w:basedOn w:val="DefaultParagraphFont"/>
    <w:qFormat/>
    <w:rPr>
      <w:rFonts w:cs="Mangal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next w:val="Corpodotexto"/>
    <w:qFormat/>
    <w:pPr>
      <w:keepNext w:val="true"/>
      <w:keepLines/>
      <w:widowControl/>
      <w:overflowPunct w:val="false"/>
      <w:bidi w:val="0"/>
      <w:spacing w:before="480" w:after="120"/>
      <w:jc w:val="left"/>
    </w:pPr>
    <w:rPr>
      <w:rFonts w:ascii="Arial" w:hAnsi="Arial" w:eastAsia="Arial" w:cs="Arial"/>
      <w:b/>
      <w:color w:val="000000"/>
      <w:kern w:val="0"/>
      <w:sz w:val="72"/>
      <w:szCs w:val="72"/>
      <w:lang w:val="pt-BR" w:eastAsia="zh-CN" w:bidi="hi-IN"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LOnormal1">
    <w:name w:val="LO-normal1"/>
    <w:qFormat/>
    <w:pPr>
      <w:widowControl/>
      <w:overflowPunct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undacred.org.br/site/politica-de-privacidad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16962</TotalTime>
  <Application>LibreOffice/6.3.0.4$Windows_X86_64 LibreOffice_project/057fc023c990d676a43019934386b85b21a9ee99</Application>
  <Pages>4</Pages>
  <Words>1498</Words>
  <Characters>8910</Characters>
  <CharactersWithSpaces>10388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2020-06-18T21:29:00Z</dcterms:created>
  <dc:creator/>
  <dc:description/>
  <dc:language>pt-BR</dc:language>
  <cp:lastModifiedBy/>
  <dcterms:modified xsi:type="dcterms:W3CDTF">2022-01-04T14:30:34Z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